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 xml:space="preserve">2019-2020 оқу жылы </w:t>
      </w:r>
      <w:r w:rsidR="006D5CDC">
        <w:rPr>
          <w:b/>
          <w:sz w:val="22"/>
          <w:szCs w:val="22"/>
          <w:lang w:val="kk-KZ"/>
        </w:rPr>
        <w:t>Қысқы</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D970EA" w:rsidRPr="00200361">
        <w:rPr>
          <w:b/>
          <w:sz w:val="36"/>
          <w:szCs w:val="36"/>
        </w:rPr>
        <w:t>Композиция І</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134"/>
        <w:gridCol w:w="425"/>
        <w:gridCol w:w="284"/>
        <w:gridCol w:w="1530"/>
        <w:gridCol w:w="880"/>
        <w:gridCol w:w="1134"/>
        <w:gridCol w:w="850"/>
        <w:gridCol w:w="140"/>
        <w:gridCol w:w="144"/>
        <w:gridCol w:w="708"/>
        <w:gridCol w:w="20"/>
        <w:gridCol w:w="382"/>
        <w:gridCol w:w="307"/>
        <w:gridCol w:w="334"/>
        <w:gridCol w:w="91"/>
        <w:gridCol w:w="424"/>
        <w:gridCol w:w="710"/>
      </w:tblGrid>
      <w:tr w:rsidR="001A3D12" w:rsidRPr="00447644" w:rsidTr="00447644">
        <w:trPr>
          <w:gridBefore w:val="1"/>
          <w:wBefore w:w="568" w:type="dxa"/>
        </w:trPr>
        <w:tc>
          <w:tcPr>
            <w:tcW w:w="9497" w:type="dxa"/>
            <w:gridSpan w:val="17"/>
          </w:tcPr>
          <w:p w:rsidR="00D477AF" w:rsidRPr="001A3D12" w:rsidRDefault="00D970EA" w:rsidP="004F6905">
            <w:pPr>
              <w:widowControl w:val="0"/>
              <w:ind w:firstLine="709"/>
              <w:jc w:val="center"/>
              <w:rPr>
                <w:lang w:val="kk-KZ"/>
              </w:rPr>
            </w:pPr>
            <w:r w:rsidRPr="000E5721">
              <w:rPr>
                <w:sz w:val="22"/>
                <w:szCs w:val="22"/>
                <w:lang w:val="kk-KZ"/>
              </w:rPr>
              <w:t>2</w:t>
            </w:r>
            <w:r w:rsidR="004F6905" w:rsidRPr="001A3D12">
              <w:rPr>
                <w:sz w:val="22"/>
                <w:szCs w:val="22"/>
                <w:lang w:val="kk-KZ"/>
              </w:rPr>
              <w:t xml:space="preserve"> курс, қазақ және орыс бөлімі</w:t>
            </w:r>
          </w:p>
        </w:tc>
      </w:tr>
      <w:tr w:rsidR="001A3D12" w:rsidRPr="001A3D12" w:rsidTr="00447644">
        <w:trPr>
          <w:gridBefore w:val="1"/>
          <w:wBefore w:w="568" w:type="dxa"/>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5"/>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5"/>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gridSpan w:val="2"/>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447644">
        <w:trPr>
          <w:gridBefore w:val="1"/>
          <w:wBefore w:w="568" w:type="dxa"/>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3"/>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5"/>
            <w:vMerge/>
          </w:tcPr>
          <w:p w:rsidR="00D477AF" w:rsidRPr="001A3D12" w:rsidRDefault="00D477AF" w:rsidP="00C16771">
            <w:pPr>
              <w:widowControl w:val="0"/>
              <w:autoSpaceDE w:val="0"/>
              <w:autoSpaceDN w:val="0"/>
              <w:adjustRightInd w:val="0"/>
              <w:jc w:val="center"/>
              <w:rPr>
                <w:b/>
              </w:rPr>
            </w:pPr>
          </w:p>
        </w:tc>
        <w:tc>
          <w:tcPr>
            <w:tcW w:w="1134" w:type="dxa"/>
            <w:gridSpan w:val="2"/>
            <w:vMerge/>
          </w:tcPr>
          <w:p w:rsidR="00D477AF" w:rsidRPr="001A3D12" w:rsidRDefault="00D477AF" w:rsidP="00C16771">
            <w:pPr>
              <w:widowControl w:val="0"/>
              <w:autoSpaceDE w:val="0"/>
              <w:autoSpaceDN w:val="0"/>
              <w:adjustRightInd w:val="0"/>
              <w:jc w:val="center"/>
              <w:rPr>
                <w:b/>
              </w:rPr>
            </w:pPr>
          </w:p>
        </w:tc>
      </w:tr>
      <w:tr w:rsidR="001A3D12" w:rsidRPr="001A3D12" w:rsidTr="00447644">
        <w:trPr>
          <w:gridBefore w:val="1"/>
          <w:wBefore w:w="568" w:type="dxa"/>
        </w:trPr>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A3D12" w:rsidRDefault="002E0556" w:rsidP="004F6905">
            <w:pPr>
              <w:widowControl w:val="0"/>
              <w:rPr>
                <w:lang w:val="kk-KZ"/>
              </w:rPr>
            </w:pPr>
            <w:r w:rsidRPr="00D970EA">
              <w:rPr>
                <w:b/>
              </w:rPr>
              <w:t>Композиция І</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3"/>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5"/>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gridSpan w:val="2"/>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447644">
        <w:trPr>
          <w:gridBefore w:val="1"/>
          <w:wBefore w:w="568" w:type="dxa"/>
        </w:trPr>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6"/>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4"/>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4"/>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50685A" w:rsidP="00C840A4">
            <w:pPr>
              <w:widowControl w:val="0"/>
              <w:autoSpaceDE w:val="0"/>
              <w:autoSpaceDN w:val="0"/>
              <w:adjustRightInd w:val="0"/>
              <w:jc w:val="center"/>
              <w:rPr>
                <w:lang w:val="kk-KZ"/>
              </w:rPr>
            </w:pPr>
            <w:r>
              <w:rPr>
                <w:sz w:val="22"/>
                <w:szCs w:val="22"/>
                <w:lang w:val="kk-KZ"/>
              </w:rPr>
              <w:t xml:space="preserve">10. </w:t>
            </w:r>
            <w:r w:rsidR="00B170D0" w:rsidRPr="001A3D12">
              <w:rPr>
                <w:sz w:val="22"/>
                <w:szCs w:val="22"/>
                <w:lang w:val="kk-KZ"/>
              </w:rPr>
              <w:t>00-1</w:t>
            </w:r>
            <w:r w:rsidR="00C840A4" w:rsidRPr="001A3D12">
              <w:rPr>
                <w:sz w:val="22"/>
                <w:szCs w:val="22"/>
                <w:lang w:val="kk-KZ"/>
              </w:rPr>
              <w:t>2:50</w:t>
            </w:r>
          </w:p>
        </w:tc>
      </w:tr>
      <w:tr w:rsidR="001A3D12" w:rsidRPr="00447644" w:rsidTr="00447644">
        <w:trPr>
          <w:gridBefore w:val="1"/>
          <w:wBefore w:w="568" w:type="dxa"/>
        </w:trPr>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6"/>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4"/>
            <w:vMerge/>
          </w:tcPr>
          <w:p w:rsidR="00D477AF" w:rsidRPr="001A3D12" w:rsidRDefault="00D477AF" w:rsidP="00C16771">
            <w:pPr>
              <w:widowControl w:val="0"/>
              <w:autoSpaceDE w:val="0"/>
              <w:autoSpaceDN w:val="0"/>
              <w:adjustRightInd w:val="0"/>
              <w:rPr>
                <w:lang w:val="kk-KZ"/>
              </w:rPr>
            </w:pPr>
          </w:p>
        </w:tc>
        <w:tc>
          <w:tcPr>
            <w:tcW w:w="1559" w:type="dxa"/>
            <w:gridSpan w:val="4"/>
            <w:vMerge/>
          </w:tcPr>
          <w:p w:rsidR="00D477AF" w:rsidRPr="001A3D12" w:rsidRDefault="00D477AF" w:rsidP="00C16771">
            <w:pPr>
              <w:widowControl w:val="0"/>
              <w:autoSpaceDE w:val="0"/>
              <w:autoSpaceDN w:val="0"/>
              <w:adjustRightInd w:val="0"/>
              <w:jc w:val="center"/>
              <w:rPr>
                <w:lang w:val="kk-KZ"/>
              </w:rPr>
            </w:pPr>
          </w:p>
        </w:tc>
      </w:tr>
      <w:tr w:rsidR="001A3D12" w:rsidRPr="001A3D12" w:rsidTr="00447644">
        <w:trPr>
          <w:gridBefore w:val="1"/>
          <w:wBefore w:w="568" w:type="dxa"/>
        </w:trPr>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6"/>
          </w:tcPr>
          <w:p w:rsidR="00D477AF" w:rsidRPr="001A3D12" w:rsidRDefault="000F0E34" w:rsidP="002E0556">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73588042, 8</w:t>
            </w:r>
            <w:r w:rsidR="009466BF">
              <w:rPr>
                <w:spacing w:val="-4"/>
                <w:sz w:val="22"/>
                <w:szCs w:val="22"/>
                <w:lang w:val="kk-KZ"/>
              </w:rPr>
              <w:t>7</w:t>
            </w:r>
            <w:r w:rsidR="002E0556">
              <w:rPr>
                <w:spacing w:val="-4"/>
                <w:sz w:val="22"/>
                <w:szCs w:val="22"/>
                <w:lang w:val="kk-KZ"/>
              </w:rPr>
              <w:t>002604749</w:t>
            </w:r>
          </w:p>
        </w:tc>
        <w:tc>
          <w:tcPr>
            <w:tcW w:w="1417" w:type="dxa"/>
            <w:gridSpan w:val="4"/>
          </w:tcPr>
          <w:p w:rsidR="00D477AF" w:rsidRPr="001A3D12" w:rsidRDefault="0050685A" w:rsidP="00C16771">
            <w:pPr>
              <w:widowControl w:val="0"/>
              <w:autoSpaceDE w:val="0"/>
              <w:autoSpaceDN w:val="0"/>
              <w:adjustRightInd w:val="0"/>
            </w:pPr>
            <w:r>
              <w:rPr>
                <w:sz w:val="22"/>
                <w:szCs w:val="22"/>
                <w:lang w:val="kk-KZ"/>
              </w:rPr>
              <w:t>Класстер</w:t>
            </w:r>
          </w:p>
        </w:tc>
        <w:tc>
          <w:tcPr>
            <w:tcW w:w="1559" w:type="dxa"/>
            <w:gridSpan w:val="4"/>
          </w:tcPr>
          <w:p w:rsidR="00D477AF" w:rsidRPr="0050685A" w:rsidRDefault="0050685A" w:rsidP="00C16771">
            <w:pPr>
              <w:widowControl w:val="0"/>
              <w:autoSpaceDE w:val="0"/>
              <w:autoSpaceDN w:val="0"/>
              <w:adjustRightInd w:val="0"/>
              <w:jc w:val="center"/>
              <w:rPr>
                <w:lang w:val="kk-KZ"/>
              </w:rPr>
            </w:pPr>
            <w:r>
              <w:rPr>
                <w:sz w:val="22"/>
                <w:szCs w:val="22"/>
                <w:lang w:val="kk-KZ"/>
              </w:rPr>
              <w:t>1г</w:t>
            </w:r>
          </w:p>
        </w:tc>
      </w:tr>
      <w:tr w:rsidR="001A3D12" w:rsidRPr="00447644" w:rsidTr="00447644">
        <w:trPr>
          <w:gridBefore w:val="1"/>
          <w:wBefore w:w="568" w:type="dxa"/>
        </w:trPr>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4"/>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C069AB">
              <w:rPr>
                <w:rFonts w:ascii="Times New Roman" w:hAnsi="Times New Roman" w:cs="Times New Roman"/>
                <w:b/>
                <w:color w:val="000000" w:themeColor="text1"/>
                <w:sz w:val="22"/>
                <w:szCs w:val="22"/>
                <w:lang w:val="kk-KZ"/>
              </w:rPr>
              <w:t>«Композиция»</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447644">
        <w:trPr>
          <w:gridBefore w:val="1"/>
          <w:wBefore w:w="568" w:type="dxa"/>
        </w:trPr>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4"/>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447644" w:rsidTr="00447644">
        <w:trPr>
          <w:gridBefore w:val="1"/>
          <w:wBefore w:w="568" w:type="dxa"/>
        </w:trPr>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4"/>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proofErr w:type="gramStart"/>
            <w:r w:rsidRPr="001A3D12">
              <w:rPr>
                <w:sz w:val="22"/>
                <w:szCs w:val="22"/>
              </w:rPr>
              <w:t>Изобразительное</w:t>
            </w:r>
            <w:proofErr w:type="gramEnd"/>
            <w:r w:rsidRPr="001A3D12">
              <w:rPr>
                <w:sz w:val="22"/>
                <w:szCs w:val="22"/>
              </w:rPr>
              <w:t xml:space="preserve">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Радиожурналистиканыңтеориясы мен тәжірибесі: </w:t>
            </w:r>
            <w:r w:rsidRPr="001A3D12">
              <w:rPr>
                <w:iCs/>
                <w:sz w:val="22"/>
                <w:szCs w:val="22"/>
              </w:rPr>
              <w:t xml:space="preserve">Оқулық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w:t>
            </w:r>
            <w:proofErr w:type="spellStart"/>
            <w:r w:rsidRPr="001A3D12">
              <w:rPr>
                <w:rFonts w:eastAsia="Calibri"/>
                <w:sz w:val="22"/>
                <w:szCs w:val="22"/>
                <w:lang w:eastAsia="en-US"/>
              </w:rPr>
              <w:t>Алматы</w:t>
            </w:r>
            <w:proofErr w:type="spellEnd"/>
            <w:r w:rsidRPr="001A3D12">
              <w:rPr>
                <w:rFonts w:eastAsia="Calibri"/>
                <w:sz w:val="22"/>
                <w:szCs w:val="22"/>
                <w:lang w:eastAsia="en-US"/>
              </w:rPr>
              <w:t>, Қазақуниверситеті,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жәнерадиохабарларыныңтехнологиясы, </w:t>
            </w:r>
            <w:proofErr w:type="spellStart"/>
            <w:r w:rsidRPr="001A3D12">
              <w:rPr>
                <w:rFonts w:eastAsia="Calibri"/>
                <w:sz w:val="22"/>
                <w:szCs w:val="22"/>
                <w:lang w:eastAsia="en-US"/>
              </w:rPr>
              <w:t>Алматы</w:t>
            </w:r>
            <w:proofErr w:type="spellEnd"/>
            <w:r w:rsidRPr="001A3D12">
              <w:rPr>
                <w:rFonts w:eastAsia="Calibri"/>
                <w:sz w:val="22"/>
                <w:szCs w:val="22"/>
                <w:lang w:eastAsia="en-US"/>
              </w:rPr>
              <w:t>,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lastRenderedPageBreak/>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772D9F"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772D9F"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772D9F"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772D9F"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772D9F"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772D9F"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772D9F"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447644" w:rsidTr="00447644">
        <w:trPr>
          <w:gridBefore w:val="1"/>
          <w:wBefore w:w="568" w:type="dxa"/>
          <w:trHeight w:val="452"/>
        </w:trPr>
        <w:tc>
          <w:tcPr>
            <w:tcW w:w="9497" w:type="dxa"/>
            <w:gridSpan w:val="17"/>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10"/>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2E0556" w:rsidRPr="002E0556">
              <w:rPr>
                <w:b/>
                <w:lang w:val="kk-KZ"/>
              </w:rPr>
              <w:t>Композиция І</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3"/>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3"/>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10"/>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3"/>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3"/>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10"/>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3"/>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3"/>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10"/>
            <w:tcBorders>
              <w:top w:val="single" w:sz="4" w:space="0" w:color="auto"/>
              <w:left w:val="single" w:sz="4" w:space="0" w:color="auto"/>
              <w:right w:val="single" w:sz="4" w:space="0" w:color="auto"/>
            </w:tcBorders>
            <w:shd w:val="clear" w:color="auto" w:fill="auto"/>
          </w:tcPr>
          <w:p w:rsidR="00704D2E" w:rsidRPr="001A3D12" w:rsidRDefault="00704D2E" w:rsidP="000C6E58">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3"/>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3"/>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10"/>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 xml:space="preserve">4-дәріс. </w:t>
            </w:r>
            <w:r w:rsidRPr="001A3D12">
              <w:rPr>
                <w:sz w:val="22"/>
                <w:szCs w:val="22"/>
                <w:lang w:val="kk-KZ"/>
              </w:rPr>
              <w:t xml:space="preserve">Көркем шығармашылық. Дәстүрлі бейнелеу өнері </w:t>
            </w:r>
            <w:r w:rsidRPr="001A3D12">
              <w:rPr>
                <w:sz w:val="22"/>
                <w:szCs w:val="22"/>
                <w:lang w:val="kk-KZ"/>
              </w:rPr>
              <w:lastRenderedPageBreak/>
              <w:t xml:space="preserve">түрлері: қолданбалы сәндік өнер, мүсін.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3"/>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447644" w:rsidP="0077660C">
            <w:pPr>
              <w:widowControl w:val="0"/>
              <w:rPr>
                <w:b/>
                <w:lang w:val="kk-KZ"/>
              </w:rPr>
            </w:pPr>
            <w:r>
              <w:rPr>
                <w:b/>
                <w:lang w:val="kk-KZ"/>
              </w:rPr>
              <w:t xml:space="preserve">                                            РК1</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6D5CDC">
              <w:rPr>
                <w:sz w:val="22"/>
                <w:szCs w:val="22"/>
                <w:lang w:val="kk-KZ"/>
              </w:rPr>
              <w:t>K</w:t>
            </w:r>
            <w:r w:rsidR="00674BD9">
              <w:rPr>
                <w:sz w:val="22"/>
                <w:szCs w:val="22"/>
                <w:lang w:val="kk-KZ"/>
              </w:rPr>
              <w:t>», «</w:t>
            </w:r>
            <w:r w:rsidR="00674BD9" w:rsidRPr="006D5CDC">
              <w:rPr>
                <w:sz w:val="22"/>
                <w:szCs w:val="22"/>
                <w:lang w:val="kk-KZ"/>
              </w:rPr>
              <w:t>L</w:t>
            </w:r>
            <w:r w:rsidR="00674BD9">
              <w:rPr>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proofErr w:type="gramStart"/>
            <w:r w:rsidR="00674BD9">
              <w:rPr>
                <w:sz w:val="22"/>
                <w:szCs w:val="22"/>
                <w:lang w:val="kk-KZ"/>
              </w:rPr>
              <w:t>»  дыбыстары</w:t>
            </w:r>
            <w:proofErr w:type="gramEnd"/>
            <w:r w:rsidR="00674BD9">
              <w:rPr>
                <w:sz w:val="22"/>
                <w:szCs w:val="22"/>
                <w:lang w:val="kk-KZ"/>
              </w:rPr>
              <w:t>.</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949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6D5CDC">
              <w:rPr>
                <w:sz w:val="22"/>
                <w:szCs w:val="22"/>
                <w:lang w:val="kk-KZ"/>
              </w:rPr>
              <w:t>O</w:t>
            </w:r>
            <w:r w:rsidR="00674BD9">
              <w:rPr>
                <w:sz w:val="22"/>
                <w:szCs w:val="22"/>
                <w:lang w:val="kk-KZ"/>
              </w:rPr>
              <w:t>», «</w:t>
            </w:r>
            <w:r w:rsidR="00674BD9" w:rsidRPr="006D5CDC">
              <w:rPr>
                <w:sz w:val="22"/>
                <w:szCs w:val="22"/>
                <w:lang w:val="kk-KZ"/>
              </w:rPr>
              <w:t>O</w:t>
            </w:r>
            <w:r w:rsidR="00674BD9">
              <w:rPr>
                <w:sz w:val="22"/>
                <w:szCs w:val="22"/>
                <w:lang w:val="kk-KZ"/>
              </w:rPr>
              <w:t>»</w:t>
            </w:r>
            <w:r w:rsidR="0088611E" w:rsidRPr="006D5CDC">
              <w:rPr>
                <w:sz w:val="22"/>
                <w:szCs w:val="22"/>
                <w:lang w:val="kk-KZ"/>
              </w:rPr>
              <w:t xml:space="preserve">. </w:t>
            </w:r>
            <w:r w:rsidR="0088611E">
              <w:rPr>
                <w:sz w:val="22"/>
                <w:szCs w:val="22"/>
                <w:lang w:val="kk-KZ"/>
              </w:rPr>
              <w:t>«</w:t>
            </w:r>
            <w:r w:rsidR="0088611E" w:rsidRPr="006D5CDC">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447644">
            <w:pPr>
              <w:widowControl w:val="0"/>
              <w:rPr>
                <w:lang w:val="kk-KZ"/>
              </w:rPr>
            </w:pPr>
            <w:r w:rsidRPr="001A3D12">
              <w:rPr>
                <w:b/>
                <w:sz w:val="22"/>
                <w:szCs w:val="22"/>
                <w:lang w:val="kk-KZ"/>
              </w:rPr>
              <w:t>Аралық емтихан</w:t>
            </w:r>
            <w:r w:rsidR="00447644">
              <w:rPr>
                <w:b/>
                <w:sz w:val="22"/>
                <w:szCs w:val="22"/>
                <w:lang w:val="kk-KZ"/>
              </w:rPr>
              <w:t xml:space="preserve">                       </w:t>
            </w:r>
            <w:r w:rsidR="00447644">
              <w:rPr>
                <w:b/>
                <w:lang w:val="kk-KZ"/>
              </w:rPr>
              <w:t xml:space="preserve"> РК2</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lastRenderedPageBreak/>
              <w:t>11-дәріс.</w:t>
            </w:r>
            <w:r w:rsidRPr="001A3D12">
              <w:rPr>
                <w:sz w:val="22"/>
                <w:szCs w:val="22"/>
                <w:lang w:val="kk-KZ"/>
              </w:rPr>
              <w:t xml:space="preserve"> Белгілі бір уақыт мерзімінде кеңістікте көрінбейтін, </w:t>
            </w:r>
            <w:r w:rsidRPr="001A3D12">
              <w:rPr>
                <w:sz w:val="22"/>
                <w:szCs w:val="22"/>
                <w:lang w:val="kk-KZ"/>
              </w:rPr>
              <w:lastRenderedPageBreak/>
              <w:t>тек тыңдап, елестетіп қабылдайтын өнер түрлері.</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lastRenderedPageBreak/>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6D5CDC">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6D5CDC">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6D5CDC">
              <w:rPr>
                <w:rFonts w:ascii="Times New Roman" w:hAnsi="Times New Roman" w:cs="Times New Roman"/>
                <w:sz w:val="22"/>
                <w:szCs w:val="22"/>
                <w:lang w:val="kk-KZ"/>
              </w:rPr>
              <w:t>C</w:t>
            </w:r>
            <w:bookmarkStart w:id="0" w:name="_GoBack"/>
            <w:bookmarkEnd w:id="0"/>
            <w:r w:rsidR="0088611E" w:rsidRPr="006D5CDC">
              <w:rPr>
                <w:rFonts w:ascii="Times New Roman" w:hAnsi="Times New Roman" w:cs="Times New Roman"/>
                <w:sz w:val="22"/>
                <w:szCs w:val="22"/>
                <w:lang w:val="kk-KZ"/>
              </w:rPr>
              <w:t>h</w:t>
            </w:r>
            <w:r w:rsidR="0088611E" w:rsidRPr="0088611E">
              <w:rPr>
                <w:rFonts w:ascii="Times New Roman" w:hAnsi="Times New Roman" w:cs="Times New Roman"/>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6D5CDC">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6D5CDC">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Height w:val="132"/>
        </w:trPr>
        <w:tc>
          <w:tcPr>
            <w:tcW w:w="1134" w:type="dxa"/>
            <w:tcBorders>
              <w:left w:val="single" w:sz="4" w:space="0" w:color="auto"/>
              <w:right w:val="single" w:sz="4" w:space="0" w:color="auto"/>
            </w:tcBorders>
            <w:shd w:val="clear" w:color="auto" w:fill="auto"/>
            <w:vAlign w:val="center"/>
          </w:tcPr>
          <w:p w:rsidR="0077660C" w:rsidRPr="001A3D12" w:rsidRDefault="00447644" w:rsidP="0077660C">
            <w:pPr>
              <w:widowControl w:val="0"/>
              <w:rPr>
                <w:lang w:val="kk-KZ"/>
              </w:rPr>
            </w:pPr>
            <w:r>
              <w:rPr>
                <w:b/>
                <w:lang w:val="kk-KZ"/>
              </w:rPr>
              <w:t>РК3</w:t>
            </w:r>
          </w:p>
        </w:tc>
        <w:tc>
          <w:tcPr>
            <w:tcW w:w="6115" w:type="dxa"/>
            <w:gridSpan w:val="10"/>
            <w:tcBorders>
              <w:top w:val="single" w:sz="4" w:space="0" w:color="auto"/>
              <w:left w:val="single" w:sz="4" w:space="0" w:color="auto"/>
              <w:right w:val="single" w:sz="4" w:space="0" w:color="auto"/>
            </w:tcBorders>
            <w:shd w:val="clear" w:color="auto" w:fill="auto"/>
          </w:tcPr>
          <w:p w:rsidR="0077660C" w:rsidRPr="001A3D12" w:rsidRDefault="00447644" w:rsidP="0077660C">
            <w:pPr>
              <w:widowControl w:val="0"/>
              <w:rPr>
                <w:b/>
                <w:lang w:val="kk-KZ"/>
              </w:rPr>
            </w:pPr>
            <w:r>
              <w:rPr>
                <w:b/>
                <w:lang w:val="kk-KZ"/>
              </w:rPr>
              <w:t>РК3</w:t>
            </w:r>
          </w:p>
        </w:tc>
        <w:tc>
          <w:tcPr>
            <w:tcW w:w="1023"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3"/>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568" w:type="dxa"/>
        </w:trPr>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10"/>
            <w:tcBorders>
              <w:top w:val="single" w:sz="4" w:space="0" w:color="auto"/>
              <w:left w:val="single" w:sz="4" w:space="0" w:color="auto"/>
              <w:bottom w:val="single" w:sz="4" w:space="0" w:color="auto"/>
              <w:right w:val="single" w:sz="4" w:space="0" w:color="auto"/>
            </w:tcBorders>
            <w:shd w:val="clear" w:color="auto" w:fill="auto"/>
          </w:tcPr>
          <w:p w:rsidR="0077660C" w:rsidRDefault="00447644" w:rsidP="0077660C">
            <w:pPr>
              <w:widowControl w:val="0"/>
              <w:rPr>
                <w:sz w:val="20"/>
                <w:szCs w:val="20"/>
                <w:lang w:val="kk-KZ" w:eastAsia="en-US"/>
              </w:rPr>
            </w:pPr>
            <w:r>
              <w:rPr>
                <w:sz w:val="20"/>
                <w:szCs w:val="20"/>
                <w:lang w:val="kk-KZ" w:eastAsia="en-US"/>
              </w:rPr>
              <w:t>Семестр барысында орындалған жұмыстардың көрмесі</w:t>
            </w:r>
          </w:p>
          <w:p w:rsidR="00447644" w:rsidRPr="001A3D12" w:rsidRDefault="00447644" w:rsidP="0077660C">
            <w:pPr>
              <w:widowControl w:val="0"/>
              <w:rPr>
                <w:b/>
                <w:lang w:val="kk-KZ"/>
              </w:rPr>
            </w:pP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3"/>
            <w:tcBorders>
              <w:top w:val="single" w:sz="4" w:space="0" w:color="auto"/>
              <w:left w:val="single" w:sz="4" w:space="0" w:color="auto"/>
              <w:bottom w:val="single" w:sz="4" w:space="0" w:color="auto"/>
              <w:right w:val="single" w:sz="4" w:space="0" w:color="auto"/>
            </w:tcBorders>
            <w:shd w:val="clear" w:color="auto" w:fill="auto"/>
          </w:tcPr>
          <w:p w:rsidR="0077660C" w:rsidRDefault="0077660C" w:rsidP="0077660C">
            <w:pPr>
              <w:widowControl w:val="0"/>
              <w:rPr>
                <w:b/>
                <w:caps/>
                <w:sz w:val="22"/>
                <w:szCs w:val="22"/>
                <w:lang w:val="kk-KZ"/>
              </w:rPr>
            </w:pPr>
            <w:r w:rsidRPr="001A3D12">
              <w:rPr>
                <w:b/>
                <w:caps/>
                <w:sz w:val="22"/>
                <w:szCs w:val="22"/>
                <w:lang w:val="kk-KZ"/>
              </w:rPr>
              <w:t>100</w:t>
            </w:r>
            <w:r w:rsidR="00447644">
              <w:rPr>
                <w:b/>
                <w:caps/>
                <w:sz w:val="22"/>
                <w:szCs w:val="22"/>
                <w:lang w:val="kk-KZ"/>
              </w:rPr>
              <w:t xml:space="preserve">              </w:t>
            </w:r>
          </w:p>
          <w:p w:rsidR="00447644" w:rsidRPr="001A3D12" w:rsidRDefault="00447644" w:rsidP="0077660C">
            <w:pPr>
              <w:widowControl w:val="0"/>
              <w:rPr>
                <w:b/>
                <w:caps/>
                <w:lang w:val="kk-KZ"/>
              </w:rPr>
            </w:pPr>
          </w:p>
        </w:tc>
      </w:tr>
      <w:tr w:rsidR="00447644" w:rsidRPr="00F76185" w:rsidTr="0044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710" w:type="dxa"/>
        </w:trPr>
        <w:tc>
          <w:tcPr>
            <w:tcW w:w="6945" w:type="dxa"/>
            <w:gridSpan w:val="9"/>
            <w:tcBorders>
              <w:top w:val="single" w:sz="4" w:space="0" w:color="auto"/>
              <w:left w:val="single" w:sz="4" w:space="0" w:color="auto"/>
              <w:bottom w:val="single" w:sz="4" w:space="0" w:color="auto"/>
              <w:right w:val="single" w:sz="4" w:space="0" w:color="auto"/>
            </w:tcBorders>
            <w:shd w:val="clear" w:color="auto" w:fill="auto"/>
          </w:tcPr>
          <w:p w:rsidR="00447644" w:rsidRPr="00F76185" w:rsidRDefault="00447644" w:rsidP="00D80201">
            <w:pPr>
              <w:rPr>
                <w:b/>
                <w:lang w:val="kk-KZ"/>
              </w:rPr>
            </w:pPr>
            <w:r>
              <w:rPr>
                <w:b/>
                <w:lang w:val="kk-KZ"/>
              </w:rPr>
              <w:t>БАРЛЫҒЫ</w:t>
            </w:r>
          </w:p>
        </w:tc>
        <w:tc>
          <w:tcPr>
            <w:tcW w:w="1254" w:type="dxa"/>
            <w:gridSpan w:val="4"/>
            <w:tcBorders>
              <w:top w:val="single" w:sz="4" w:space="0" w:color="auto"/>
              <w:left w:val="single" w:sz="4" w:space="0" w:color="auto"/>
              <w:bottom w:val="single" w:sz="4" w:space="0" w:color="auto"/>
              <w:right w:val="single" w:sz="4" w:space="0" w:color="auto"/>
            </w:tcBorders>
            <w:shd w:val="clear" w:color="auto" w:fill="auto"/>
          </w:tcPr>
          <w:p w:rsidR="00447644" w:rsidRPr="00F76185" w:rsidRDefault="00447644" w:rsidP="00D80201">
            <w:pPr>
              <w:rPr>
                <w:b/>
                <w:lang w:val="kk-KZ"/>
              </w:rPr>
            </w:pPr>
          </w:p>
        </w:tc>
        <w:tc>
          <w:tcPr>
            <w:tcW w:w="1156" w:type="dxa"/>
            <w:gridSpan w:val="4"/>
            <w:tcBorders>
              <w:top w:val="single" w:sz="4" w:space="0" w:color="auto"/>
              <w:left w:val="single" w:sz="4" w:space="0" w:color="auto"/>
              <w:bottom w:val="single" w:sz="4" w:space="0" w:color="auto"/>
              <w:right w:val="single" w:sz="4" w:space="0" w:color="auto"/>
            </w:tcBorders>
            <w:shd w:val="clear" w:color="auto" w:fill="auto"/>
          </w:tcPr>
          <w:p w:rsidR="00447644" w:rsidRPr="00F76185" w:rsidRDefault="00447644" w:rsidP="00D80201">
            <w:pPr>
              <w:rPr>
                <w:b/>
                <w:caps/>
                <w:lang w:val="kk-KZ"/>
              </w:rPr>
            </w:pPr>
            <w:r w:rsidRPr="00F76185">
              <w:rPr>
                <w:b/>
                <w:caps/>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rsids>
    <w:rsidRoot w:val="0058405C"/>
    <w:rsid w:val="000035A8"/>
    <w:rsid w:val="00004833"/>
    <w:rsid w:val="00024ADB"/>
    <w:rsid w:val="000508E9"/>
    <w:rsid w:val="00053855"/>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400F40"/>
    <w:rsid w:val="00401AB5"/>
    <w:rsid w:val="00413CE4"/>
    <w:rsid w:val="00415C7C"/>
    <w:rsid w:val="00421323"/>
    <w:rsid w:val="004247C4"/>
    <w:rsid w:val="00433E6C"/>
    <w:rsid w:val="004400A3"/>
    <w:rsid w:val="00445C75"/>
    <w:rsid w:val="00447644"/>
    <w:rsid w:val="00475747"/>
    <w:rsid w:val="00492FF3"/>
    <w:rsid w:val="004A16D2"/>
    <w:rsid w:val="004A6B1A"/>
    <w:rsid w:val="004B36C6"/>
    <w:rsid w:val="004C2C98"/>
    <w:rsid w:val="004C4920"/>
    <w:rsid w:val="004D5268"/>
    <w:rsid w:val="004D6C01"/>
    <w:rsid w:val="004E1383"/>
    <w:rsid w:val="004E38AD"/>
    <w:rsid w:val="004E6C27"/>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5CDC"/>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2D9F"/>
    <w:rsid w:val="0077660C"/>
    <w:rsid w:val="00776EE2"/>
    <w:rsid w:val="00780B90"/>
    <w:rsid w:val="00787408"/>
    <w:rsid w:val="00787E9B"/>
    <w:rsid w:val="0079125F"/>
    <w:rsid w:val="007A0943"/>
    <w:rsid w:val="007A4071"/>
    <w:rsid w:val="007C3AF7"/>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A5E57"/>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B2FB-B2B4-4573-AACC-5A5A5141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2019-09-25T03:35:00Z</cp:lastPrinted>
  <dcterms:created xsi:type="dcterms:W3CDTF">2020-03-01T09:24:00Z</dcterms:created>
  <dcterms:modified xsi:type="dcterms:W3CDTF">2020-03-01T09:31:00Z</dcterms:modified>
</cp:coreProperties>
</file>